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927" w:rsidRPr="00656927" w:rsidRDefault="00656927" w:rsidP="0065692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r w:rsidRPr="00656927">
        <w:rPr>
          <w:rFonts w:ascii="Times New Roman" w:eastAsia="Times New Roman" w:hAnsi="Times New Roman" w:cs="Times New Roman"/>
          <w:b/>
          <w:bCs/>
          <w:kern w:val="36"/>
          <w:sz w:val="48"/>
          <w:szCs w:val="48"/>
          <w:lang w:eastAsia="de-DE"/>
        </w:rPr>
        <w:t>Absetzphänomene unter Antidepressiva</w:t>
      </w:r>
    </w:p>
    <w:bookmarkEnd w:id="0"/>
    <w:p w:rsidR="00656927" w:rsidRPr="00656927" w:rsidRDefault="00656927" w:rsidP="00656927">
      <w:pPr>
        <w:spacing w:before="100" w:beforeAutospacing="1" w:after="100" w:afterAutospacing="1" w:line="240" w:lineRule="auto"/>
        <w:rPr>
          <w:rFonts w:ascii="Times New Roman" w:eastAsia="Times New Roman" w:hAnsi="Times New Roman" w:cs="Times New Roman"/>
          <w:sz w:val="24"/>
          <w:szCs w:val="24"/>
          <w:lang w:eastAsia="de-DE"/>
        </w:rPr>
      </w:pPr>
      <w:r w:rsidRPr="00656927">
        <w:rPr>
          <w:rFonts w:ascii="Times New Roman" w:eastAsia="Times New Roman" w:hAnsi="Times New Roman" w:cs="Times New Roman"/>
          <w:b/>
          <w:bCs/>
          <w:sz w:val="24"/>
          <w:szCs w:val="24"/>
          <w:lang w:eastAsia="de-DE"/>
        </w:rPr>
        <w:t xml:space="preserve">Antidepressiva sind in der klinischen Praxis häufig verwendete Substanzen für die Behandlung einer depressiven Episode. Hierbei stellen unter anderem serotonerge Substanzen wie z.B. SSRI eine wichtige Therapieoption in der täglichen Praxis dar. </w:t>
      </w:r>
    </w:p>
    <w:p w:rsidR="00656927" w:rsidRPr="00656927" w:rsidRDefault="00656927" w:rsidP="00656927">
      <w:pPr>
        <w:spacing w:before="100" w:beforeAutospacing="1" w:after="100" w:afterAutospacing="1" w:line="240" w:lineRule="auto"/>
        <w:rPr>
          <w:rFonts w:ascii="Times New Roman" w:eastAsia="Times New Roman" w:hAnsi="Times New Roman" w:cs="Times New Roman"/>
          <w:sz w:val="24"/>
          <w:szCs w:val="24"/>
          <w:lang w:eastAsia="de-DE"/>
        </w:rPr>
      </w:pPr>
      <w:r w:rsidRPr="00656927">
        <w:rPr>
          <w:rFonts w:ascii="Times New Roman" w:eastAsia="Times New Roman" w:hAnsi="Times New Roman" w:cs="Times New Roman"/>
          <w:b/>
          <w:bCs/>
          <w:sz w:val="24"/>
          <w:szCs w:val="24"/>
          <w:lang w:eastAsia="de-DE"/>
        </w:rPr>
        <w:t xml:space="preserve">Seit langem ist in der Literatur beschrieben, dass es beim abruptem Absetzen serotonerger Substanzen zu sogenannten Absetzphänomenen kommen kann, die durch ein breites Spektrum an körperlichen und psychischen Symptomen (Liste an Symptomen siehe Abb.) gekennzeichnet sein können. Um diese Absetzphänomene besser und systematischer zu erfassen, wurde Ende der neunziger Jahre eine spezifische Skala entwickelt, die sog. DESS-Checkliste. Diese läuft stets bei allen kontrollierten Studien mittlerweile routinemäßig mit. </w:t>
      </w:r>
    </w:p>
    <w:p w:rsidR="00656927" w:rsidRPr="00656927" w:rsidRDefault="00656927" w:rsidP="00656927">
      <w:pPr>
        <w:spacing w:before="100" w:beforeAutospacing="1" w:after="100" w:afterAutospacing="1" w:line="240" w:lineRule="auto"/>
        <w:rPr>
          <w:rFonts w:ascii="Times New Roman" w:eastAsia="Times New Roman" w:hAnsi="Times New Roman" w:cs="Times New Roman"/>
          <w:sz w:val="24"/>
          <w:szCs w:val="24"/>
          <w:lang w:eastAsia="de-DE"/>
        </w:rPr>
      </w:pPr>
      <w:r w:rsidRPr="00656927">
        <w:rPr>
          <w:rFonts w:ascii="Times New Roman" w:eastAsia="Times New Roman" w:hAnsi="Times New Roman" w:cs="Times New Roman"/>
          <w:sz w:val="24"/>
          <w:szCs w:val="24"/>
          <w:lang w:eastAsia="de-DE"/>
        </w:rPr>
        <w:t xml:space="preserve">Die Publikation von </w:t>
      </w:r>
      <w:proofErr w:type="spellStart"/>
      <w:r w:rsidRPr="00656927">
        <w:rPr>
          <w:rFonts w:ascii="Times New Roman" w:eastAsia="Times New Roman" w:hAnsi="Times New Roman" w:cs="Times New Roman"/>
          <w:sz w:val="24"/>
          <w:szCs w:val="24"/>
          <w:lang w:eastAsia="de-DE"/>
        </w:rPr>
        <w:t>Fava</w:t>
      </w:r>
      <w:proofErr w:type="spellEnd"/>
      <w:r w:rsidRPr="00656927">
        <w:rPr>
          <w:rFonts w:ascii="Times New Roman" w:eastAsia="Times New Roman" w:hAnsi="Times New Roman" w:cs="Times New Roman"/>
          <w:sz w:val="24"/>
          <w:szCs w:val="24"/>
          <w:lang w:eastAsia="de-DE"/>
        </w:rPr>
        <w:t xml:space="preserve"> et al. befasste sich nun mit der Frage, ob zwischen den einzelnen Wirkstoffen innerhalb der SSRI Unterschiede einerseits in Bezug auf Einsetzen und Dauer der Symptomatik sowie bezüglich Qualität und Quantität bestehen.</w:t>
      </w:r>
    </w:p>
    <w:p w:rsidR="00656927" w:rsidRPr="00656927" w:rsidRDefault="00656927" w:rsidP="0065692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56927">
        <w:rPr>
          <w:rFonts w:ascii="Times New Roman" w:eastAsia="Times New Roman" w:hAnsi="Times New Roman" w:cs="Times New Roman"/>
          <w:b/>
          <w:bCs/>
          <w:sz w:val="27"/>
          <w:szCs w:val="27"/>
          <w:lang w:eastAsia="de-DE"/>
        </w:rPr>
        <w:t>Methodik</w:t>
      </w:r>
    </w:p>
    <w:p w:rsidR="00656927" w:rsidRPr="00656927" w:rsidRDefault="00656927" w:rsidP="00656927">
      <w:pPr>
        <w:spacing w:before="100" w:beforeAutospacing="1" w:after="100" w:afterAutospacing="1" w:line="240" w:lineRule="auto"/>
        <w:rPr>
          <w:rFonts w:ascii="Times New Roman" w:eastAsia="Times New Roman" w:hAnsi="Times New Roman" w:cs="Times New Roman"/>
          <w:sz w:val="24"/>
          <w:szCs w:val="24"/>
          <w:lang w:eastAsia="de-DE"/>
        </w:rPr>
      </w:pPr>
      <w:r w:rsidRPr="00656927">
        <w:rPr>
          <w:rFonts w:ascii="Times New Roman" w:eastAsia="Times New Roman" w:hAnsi="Times New Roman" w:cs="Times New Roman"/>
          <w:sz w:val="24"/>
          <w:szCs w:val="24"/>
          <w:lang w:eastAsia="de-DE"/>
        </w:rPr>
        <w:t xml:space="preserve">Es wurden in der Publikation nur englischsprachige Studien berücksichtigt, die bis Juni 2014 in den entsprechenden Datenbanken (z.B. </w:t>
      </w:r>
      <w:proofErr w:type="spellStart"/>
      <w:r w:rsidRPr="00656927">
        <w:rPr>
          <w:rFonts w:ascii="Times New Roman" w:eastAsia="Times New Roman" w:hAnsi="Times New Roman" w:cs="Times New Roman"/>
          <w:sz w:val="24"/>
          <w:szCs w:val="24"/>
          <w:lang w:eastAsia="de-DE"/>
        </w:rPr>
        <w:t>PubMed</w:t>
      </w:r>
      <w:proofErr w:type="spellEnd"/>
      <w:r w:rsidRPr="00656927">
        <w:rPr>
          <w:rFonts w:ascii="Times New Roman" w:eastAsia="Times New Roman" w:hAnsi="Times New Roman" w:cs="Times New Roman"/>
          <w:sz w:val="24"/>
          <w:szCs w:val="24"/>
          <w:lang w:eastAsia="de-DE"/>
        </w:rPr>
        <w:t xml:space="preserve">, Cochrane Library) nach vordefinierten Suchbegriffen vorzufinden waren. Insgesamt wurden 15 kontrollierte Studien, 4 offene Studien sowie 38 Fallberichte eingeschlossen. Der Fokus lag hierbei auf Daten, die unmittelbar mit dem Vorliegen von Absetzphänomenen in Verbindung zu bringen waren. </w:t>
      </w:r>
    </w:p>
    <w:p w:rsidR="00656927" w:rsidRPr="00656927" w:rsidRDefault="00656927" w:rsidP="0065692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56927">
        <w:rPr>
          <w:rFonts w:ascii="Times New Roman" w:eastAsia="Times New Roman" w:hAnsi="Times New Roman" w:cs="Times New Roman"/>
          <w:b/>
          <w:bCs/>
          <w:sz w:val="27"/>
          <w:szCs w:val="27"/>
          <w:lang w:eastAsia="de-DE"/>
        </w:rPr>
        <w:t>Ergebnisse</w:t>
      </w:r>
    </w:p>
    <w:p w:rsidR="00656927" w:rsidRPr="00656927" w:rsidRDefault="00656927" w:rsidP="0065692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656927">
        <w:rPr>
          <w:rFonts w:ascii="Times New Roman" w:eastAsia="Times New Roman" w:hAnsi="Times New Roman" w:cs="Times New Roman"/>
          <w:sz w:val="24"/>
          <w:szCs w:val="24"/>
          <w:lang w:eastAsia="de-DE"/>
        </w:rPr>
        <w:t>Die Prävalenz der Absetzphänomene war variabel.</w:t>
      </w:r>
    </w:p>
    <w:p w:rsidR="00656927" w:rsidRPr="00656927" w:rsidRDefault="00656927" w:rsidP="0065692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656927">
        <w:rPr>
          <w:rFonts w:ascii="Times New Roman" w:eastAsia="Times New Roman" w:hAnsi="Times New Roman" w:cs="Times New Roman"/>
          <w:sz w:val="24"/>
          <w:szCs w:val="24"/>
          <w:lang w:eastAsia="de-DE"/>
        </w:rPr>
        <w:t>Die Symptome traten innerhalb weniger Tage auf.</w:t>
      </w:r>
    </w:p>
    <w:p w:rsidR="00656927" w:rsidRPr="00656927" w:rsidRDefault="00656927" w:rsidP="0065692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656927">
        <w:rPr>
          <w:rFonts w:ascii="Times New Roman" w:eastAsia="Times New Roman" w:hAnsi="Times New Roman" w:cs="Times New Roman"/>
          <w:sz w:val="24"/>
          <w:szCs w:val="24"/>
          <w:lang w:eastAsia="de-DE"/>
        </w:rPr>
        <w:t>Die Symptome dauerten über Wochen an und dies sowohl bei abruptem Absetzen als auch bei Ausschleichen des SSRI.</w:t>
      </w:r>
    </w:p>
    <w:p w:rsidR="00656927" w:rsidRPr="00656927" w:rsidRDefault="00656927" w:rsidP="0065692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656927">
        <w:rPr>
          <w:rFonts w:ascii="Times New Roman" w:eastAsia="Times New Roman" w:hAnsi="Times New Roman" w:cs="Times New Roman"/>
          <w:sz w:val="24"/>
          <w:szCs w:val="24"/>
          <w:lang w:eastAsia="de-DE"/>
        </w:rPr>
        <w:t xml:space="preserve">Von allen SSRI zeigten sich unter Paroxetin am häufigsten Absetzerscheinungen. Diese waren auch am stärksten ausgeprägt. </w:t>
      </w:r>
    </w:p>
    <w:p w:rsidR="00656927" w:rsidRPr="00656927" w:rsidRDefault="00656927" w:rsidP="0065692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656927">
        <w:rPr>
          <w:rFonts w:ascii="Times New Roman" w:eastAsia="Times New Roman" w:hAnsi="Times New Roman" w:cs="Times New Roman"/>
          <w:sz w:val="24"/>
          <w:szCs w:val="24"/>
          <w:lang w:eastAsia="de-DE"/>
        </w:rPr>
        <w:t xml:space="preserve">Diese Absetzphänomene wurden nicht selten als Rezidiv oder Versagen der neu angesetzten Medikation (falls von einer serotonergen auf eine nicht serotonerge Substanz umgestellt wurde) gedeutet. </w:t>
      </w:r>
    </w:p>
    <w:p w:rsidR="00656927" w:rsidRPr="00656927" w:rsidRDefault="00656927" w:rsidP="00656927">
      <w:pPr>
        <w:spacing w:before="100" w:beforeAutospacing="1" w:after="100" w:afterAutospacing="1" w:line="240" w:lineRule="auto"/>
        <w:outlineLvl w:val="2"/>
        <w:rPr>
          <w:rFonts w:ascii="Times New Roman" w:eastAsia="Times New Roman" w:hAnsi="Times New Roman" w:cs="Times New Roman"/>
          <w:b/>
          <w:bCs/>
          <w:sz w:val="27"/>
          <w:szCs w:val="27"/>
          <w:lang w:val="en-GB" w:eastAsia="de-DE"/>
        </w:rPr>
      </w:pPr>
      <w:r w:rsidRPr="00656927">
        <w:rPr>
          <w:rFonts w:ascii="Times New Roman" w:eastAsia="Times New Roman" w:hAnsi="Times New Roman" w:cs="Times New Roman"/>
          <w:b/>
          <w:bCs/>
          <w:sz w:val="27"/>
          <w:szCs w:val="27"/>
          <w:lang w:val="en-GB" w:eastAsia="de-DE"/>
        </w:rPr>
        <w:t>Conclusion</w:t>
      </w:r>
    </w:p>
    <w:p w:rsidR="00656927" w:rsidRPr="00656927" w:rsidRDefault="00656927" w:rsidP="00656927">
      <w:pPr>
        <w:spacing w:after="0" w:line="240" w:lineRule="auto"/>
        <w:rPr>
          <w:rFonts w:ascii="Times New Roman" w:eastAsia="Times New Roman" w:hAnsi="Times New Roman" w:cs="Times New Roman"/>
          <w:sz w:val="24"/>
          <w:szCs w:val="24"/>
          <w:lang w:eastAsia="de-DE"/>
        </w:rPr>
      </w:pPr>
    </w:p>
    <w:p w:rsidR="00656927" w:rsidRPr="00656927" w:rsidRDefault="00656927" w:rsidP="00656927">
      <w:pPr>
        <w:spacing w:before="100" w:beforeAutospacing="1" w:after="100" w:afterAutospacing="1" w:line="240" w:lineRule="auto"/>
        <w:rPr>
          <w:rFonts w:ascii="Times New Roman" w:eastAsia="Times New Roman" w:hAnsi="Times New Roman" w:cs="Times New Roman"/>
          <w:sz w:val="24"/>
          <w:szCs w:val="24"/>
          <w:lang w:eastAsia="de-DE"/>
        </w:rPr>
      </w:pPr>
      <w:r w:rsidRPr="00656927">
        <w:rPr>
          <w:rFonts w:ascii="Times New Roman" w:eastAsia="Times New Roman" w:hAnsi="Times New Roman" w:cs="Times New Roman"/>
          <w:sz w:val="24"/>
          <w:szCs w:val="24"/>
          <w:lang w:eastAsia="de-DE"/>
        </w:rPr>
        <w:t xml:space="preserve">Bei Absetzen von SSRI muss mit Absetzphänomenen gerechnet werden. Daher sollte man in der klinischen Praxis die serotonerge Substanz, falls möglich, langsam und stufenweise ausschleichen und den Patienten über mögliche Absetzphänomene informieren, um mögliche Fehlinterpretationen zu vermeiden. </w:t>
      </w:r>
    </w:p>
    <w:p w:rsidR="008C50A8" w:rsidRDefault="00656927">
      <w:r w:rsidRPr="00656927">
        <w:rPr>
          <w:rFonts w:ascii="Times New Roman" w:eastAsia="Times New Roman" w:hAnsi="Times New Roman" w:cs="Times New Roman"/>
          <w:noProof/>
          <w:color w:val="0000FF"/>
          <w:sz w:val="24"/>
          <w:szCs w:val="24"/>
          <w:lang w:eastAsia="de-DE"/>
        </w:rPr>
        <w:lastRenderedPageBreak/>
        <w:drawing>
          <wp:inline distT="0" distB="0" distL="0" distR="0" wp14:anchorId="07ACD81F" wp14:editId="0CEBE09F">
            <wp:extent cx="5760085" cy="3467100"/>
            <wp:effectExtent l="0" t="0" r="0" b="0"/>
            <wp:docPr id="6" name="Bild 6" descr="modifiziert nach: 1. Delgado PL et al., J Clin Psychiatry 2000; 61 Suppl2: 6-9 , 2. Thompson T. et al., J Clin Psychiatry 1998; 59: 541-8">
              <a:hlinkClick xmlns:a="http://schemas.openxmlformats.org/drawingml/2006/main" r:id="rId5" tgtFrame="&quot;_blank&quot;" tooltip="&quot;modifiziert nach: 1. Delgado PL et al., J Clin Psychiatry 2000; 61 Suppl2: 6-9 , 2. Thompson T. et al., J Clin Psychiatry 1998; 59: 54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difiziert nach: 1. Delgado PL et al., J Clin Psychiatry 2000; 61 Suppl2: 6-9 , 2. Thompson T. et al., J Clin Psychiatry 1998; 59: 541-8">
                      <a:hlinkClick r:id="rId5" tgtFrame="&quot;_blank&quot;" tooltip="&quot;modifiziert nach: 1. Delgado PL et al., J Clin Psychiatry 2000; 61 Suppl2: 6-9 , 2. Thompson T. et al., J Clin Psychiatry 1998; 59: 541-8&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5" cy="3467485"/>
                    </a:xfrm>
                    <a:prstGeom prst="rect">
                      <a:avLst/>
                    </a:prstGeom>
                    <a:noFill/>
                    <a:ln>
                      <a:noFill/>
                    </a:ln>
                  </pic:spPr>
                </pic:pic>
              </a:graphicData>
            </a:graphic>
          </wp:inline>
        </w:drawing>
      </w:r>
    </w:p>
    <w:tbl>
      <w:tblPr>
        <w:tblpPr w:leftFromText="141" w:rightFromText="141" w:vertAnchor="text" w:horzAnchor="margin" w:tblpXSpec="center" w:tblpY="577"/>
        <w:tblW w:w="9356" w:type="dxa"/>
        <w:tblBorders>
          <w:top w:val="nil"/>
          <w:left w:val="nil"/>
          <w:bottom w:val="nil"/>
          <w:right w:val="nil"/>
        </w:tblBorders>
        <w:tblLayout w:type="fixed"/>
        <w:tblLook w:val="0000" w:firstRow="0" w:lastRow="0" w:firstColumn="0" w:lastColumn="0" w:noHBand="0" w:noVBand="0"/>
      </w:tblPr>
      <w:tblGrid>
        <w:gridCol w:w="4678"/>
        <w:gridCol w:w="4678"/>
      </w:tblGrid>
      <w:tr w:rsidR="00656927" w:rsidRPr="00656927" w:rsidTr="00656927">
        <w:tblPrEx>
          <w:tblCellMar>
            <w:top w:w="0" w:type="dxa"/>
            <w:bottom w:w="0" w:type="dxa"/>
          </w:tblCellMar>
        </w:tblPrEx>
        <w:trPr>
          <w:trHeight w:val="229"/>
        </w:trPr>
        <w:tc>
          <w:tcPr>
            <w:tcW w:w="4678" w:type="dxa"/>
            <w:tcBorders>
              <w:top w:val="single" w:sz="8" w:space="0" w:color="auto"/>
              <w:left w:val="single" w:sz="8" w:space="0" w:color="auto"/>
              <w:bottom w:val="single" w:sz="24" w:space="0" w:color="auto"/>
              <w:right w:val="single" w:sz="8" w:space="0" w:color="auto"/>
            </w:tcBorders>
            <w:shd w:val="clear" w:color="auto" w:fill="16365D"/>
          </w:tcPr>
          <w:p w:rsidR="00656927" w:rsidRPr="00656927" w:rsidRDefault="00656927" w:rsidP="00656927">
            <w:r w:rsidRPr="00656927">
              <w:rPr>
                <w:b/>
                <w:bCs/>
              </w:rPr>
              <w:t xml:space="preserve">Risikoeinschätzung für Absetzphänomene Risikoeinschätzung </w:t>
            </w:r>
          </w:p>
        </w:tc>
        <w:tc>
          <w:tcPr>
            <w:tcW w:w="4678" w:type="dxa"/>
            <w:tcBorders>
              <w:top w:val="single" w:sz="8" w:space="0" w:color="auto"/>
              <w:left w:val="single" w:sz="8" w:space="0" w:color="auto"/>
              <w:bottom w:val="single" w:sz="24" w:space="0" w:color="auto"/>
              <w:right w:val="single" w:sz="8" w:space="0" w:color="auto"/>
            </w:tcBorders>
            <w:shd w:val="clear" w:color="auto" w:fill="16365D"/>
          </w:tcPr>
          <w:p w:rsidR="00656927" w:rsidRPr="00656927" w:rsidRDefault="00656927" w:rsidP="00656927">
            <w:r w:rsidRPr="00656927">
              <w:rPr>
                <w:b/>
                <w:bCs/>
              </w:rPr>
              <w:t xml:space="preserve">Wirkstoff </w:t>
            </w:r>
          </w:p>
        </w:tc>
      </w:tr>
      <w:tr w:rsidR="00656927" w:rsidRPr="00656927" w:rsidTr="00656927">
        <w:tblPrEx>
          <w:tblCellMar>
            <w:top w:w="0" w:type="dxa"/>
            <w:bottom w:w="0" w:type="dxa"/>
          </w:tblCellMar>
        </w:tblPrEx>
        <w:trPr>
          <w:trHeight w:val="596"/>
        </w:trPr>
        <w:tc>
          <w:tcPr>
            <w:tcW w:w="4678" w:type="dxa"/>
            <w:tcBorders>
              <w:top w:val="single" w:sz="24" w:space="0" w:color="auto"/>
              <w:left w:val="single" w:sz="8" w:space="0" w:color="auto"/>
              <w:bottom w:val="single" w:sz="8" w:space="0" w:color="auto"/>
              <w:right w:val="single" w:sz="8" w:space="0" w:color="auto"/>
            </w:tcBorders>
            <w:shd w:val="clear" w:color="auto" w:fill="D0D8E8"/>
          </w:tcPr>
          <w:p w:rsidR="00656927" w:rsidRPr="00656927" w:rsidRDefault="00656927" w:rsidP="00656927">
            <w:r w:rsidRPr="00656927">
              <w:rPr>
                <w:b/>
                <w:bCs/>
              </w:rPr>
              <w:t xml:space="preserve">Hoch </w:t>
            </w:r>
          </w:p>
        </w:tc>
        <w:tc>
          <w:tcPr>
            <w:tcW w:w="4678" w:type="dxa"/>
            <w:tcBorders>
              <w:top w:val="single" w:sz="24" w:space="0" w:color="auto"/>
              <w:left w:val="single" w:sz="8" w:space="0" w:color="auto"/>
              <w:bottom w:val="single" w:sz="8" w:space="0" w:color="auto"/>
              <w:right w:val="single" w:sz="8" w:space="0" w:color="auto"/>
            </w:tcBorders>
            <w:shd w:val="clear" w:color="auto" w:fill="D0D8E8"/>
          </w:tcPr>
          <w:p w:rsidR="00656927" w:rsidRPr="00656927" w:rsidRDefault="00656927" w:rsidP="00656927"/>
          <w:p w:rsidR="00656927" w:rsidRPr="00656927" w:rsidRDefault="00656927" w:rsidP="00656927">
            <w:pPr>
              <w:numPr>
                <w:ilvl w:val="0"/>
                <w:numId w:val="2"/>
              </w:numPr>
            </w:pPr>
            <w:r w:rsidRPr="00656927">
              <w:t xml:space="preserve">Paroxetin </w:t>
            </w:r>
          </w:p>
          <w:p w:rsidR="00656927" w:rsidRPr="00656927" w:rsidRDefault="00656927" w:rsidP="00656927">
            <w:pPr>
              <w:numPr>
                <w:ilvl w:val="0"/>
                <w:numId w:val="2"/>
              </w:numPr>
            </w:pPr>
            <w:r w:rsidRPr="00656927">
              <w:t xml:space="preserve">Venlafaxin </w:t>
            </w:r>
          </w:p>
          <w:p w:rsidR="00656927" w:rsidRPr="00656927" w:rsidRDefault="00656927" w:rsidP="00656927">
            <w:pPr>
              <w:numPr>
                <w:ilvl w:val="0"/>
                <w:numId w:val="2"/>
              </w:numPr>
            </w:pPr>
            <w:proofErr w:type="spellStart"/>
            <w:r w:rsidRPr="00656927">
              <w:t>Clomipramin</w:t>
            </w:r>
            <w:proofErr w:type="spellEnd"/>
            <w:r w:rsidRPr="00656927">
              <w:t xml:space="preserve"> </w:t>
            </w:r>
          </w:p>
          <w:p w:rsidR="00656927" w:rsidRPr="00656927" w:rsidRDefault="00656927" w:rsidP="00656927"/>
        </w:tc>
      </w:tr>
      <w:tr w:rsidR="00656927" w:rsidRPr="00656927" w:rsidTr="00656927">
        <w:tblPrEx>
          <w:tblCellMar>
            <w:top w:w="0" w:type="dxa"/>
            <w:bottom w:w="0" w:type="dxa"/>
          </w:tblCellMar>
        </w:tblPrEx>
        <w:trPr>
          <w:trHeight w:val="593"/>
        </w:trPr>
        <w:tc>
          <w:tcPr>
            <w:tcW w:w="4678" w:type="dxa"/>
            <w:tcBorders>
              <w:top w:val="single" w:sz="8" w:space="0" w:color="auto"/>
              <w:left w:val="single" w:sz="8" w:space="0" w:color="auto"/>
              <w:bottom w:val="single" w:sz="8" w:space="0" w:color="auto"/>
              <w:right w:val="single" w:sz="8" w:space="0" w:color="auto"/>
            </w:tcBorders>
            <w:shd w:val="clear" w:color="auto" w:fill="E9EDF4"/>
          </w:tcPr>
          <w:p w:rsidR="00656927" w:rsidRPr="00656927" w:rsidRDefault="00656927" w:rsidP="00656927">
            <w:r w:rsidRPr="00656927">
              <w:rPr>
                <w:b/>
                <w:bCs/>
              </w:rPr>
              <w:t xml:space="preserve">Mittel </w:t>
            </w:r>
          </w:p>
        </w:tc>
        <w:tc>
          <w:tcPr>
            <w:tcW w:w="4678" w:type="dxa"/>
            <w:tcBorders>
              <w:top w:val="single" w:sz="8" w:space="0" w:color="auto"/>
              <w:left w:val="single" w:sz="8" w:space="0" w:color="auto"/>
              <w:bottom w:val="single" w:sz="8" w:space="0" w:color="auto"/>
              <w:right w:val="single" w:sz="8" w:space="0" w:color="auto"/>
            </w:tcBorders>
            <w:shd w:val="clear" w:color="auto" w:fill="E9EDF4"/>
          </w:tcPr>
          <w:p w:rsidR="00656927" w:rsidRPr="00656927" w:rsidRDefault="00656927" w:rsidP="00656927"/>
          <w:p w:rsidR="00656927" w:rsidRPr="00656927" w:rsidRDefault="00656927" w:rsidP="00656927">
            <w:pPr>
              <w:numPr>
                <w:ilvl w:val="0"/>
                <w:numId w:val="3"/>
              </w:numPr>
            </w:pPr>
            <w:r w:rsidRPr="00656927">
              <w:t xml:space="preserve">SSRI* </w:t>
            </w:r>
          </w:p>
          <w:p w:rsidR="00656927" w:rsidRPr="00656927" w:rsidRDefault="00656927" w:rsidP="00656927">
            <w:pPr>
              <w:numPr>
                <w:ilvl w:val="0"/>
                <w:numId w:val="3"/>
              </w:numPr>
            </w:pPr>
            <w:r w:rsidRPr="00656927">
              <w:t xml:space="preserve">SNRI* </w:t>
            </w:r>
          </w:p>
          <w:p w:rsidR="00656927" w:rsidRPr="00656927" w:rsidRDefault="00656927" w:rsidP="00656927"/>
          <w:p w:rsidR="00656927" w:rsidRPr="00656927" w:rsidRDefault="00656927" w:rsidP="00656927">
            <w:r w:rsidRPr="00656927">
              <w:t xml:space="preserve">(außer genannte Wirkstoffe siehe </w:t>
            </w:r>
            <w:proofErr w:type="spellStart"/>
            <w:r w:rsidRPr="00656927">
              <w:t>Tbl</w:t>
            </w:r>
            <w:proofErr w:type="spellEnd"/>
            <w:r w:rsidRPr="00656927">
              <w:t xml:space="preserve">.) </w:t>
            </w:r>
          </w:p>
        </w:tc>
      </w:tr>
      <w:tr w:rsidR="00656927" w:rsidRPr="00656927" w:rsidTr="00656927">
        <w:tblPrEx>
          <w:tblCellMar>
            <w:top w:w="0" w:type="dxa"/>
            <w:bottom w:w="0" w:type="dxa"/>
          </w:tblCellMar>
        </w:tblPrEx>
        <w:trPr>
          <w:trHeight w:val="212"/>
        </w:trPr>
        <w:tc>
          <w:tcPr>
            <w:tcW w:w="4678" w:type="dxa"/>
            <w:tcBorders>
              <w:top w:val="single" w:sz="8" w:space="0" w:color="auto"/>
              <w:left w:val="single" w:sz="8" w:space="0" w:color="auto"/>
              <w:bottom w:val="single" w:sz="8" w:space="0" w:color="auto"/>
              <w:right w:val="single" w:sz="8" w:space="0" w:color="auto"/>
            </w:tcBorders>
            <w:shd w:val="clear" w:color="auto" w:fill="D0D8E8"/>
          </w:tcPr>
          <w:p w:rsidR="00656927" w:rsidRPr="00656927" w:rsidRDefault="00656927" w:rsidP="00656927">
            <w:r w:rsidRPr="00656927">
              <w:rPr>
                <w:b/>
                <w:bCs/>
              </w:rPr>
              <w:t xml:space="preserve">Gering </w:t>
            </w:r>
          </w:p>
        </w:tc>
        <w:tc>
          <w:tcPr>
            <w:tcW w:w="4678" w:type="dxa"/>
            <w:tcBorders>
              <w:top w:val="single" w:sz="8" w:space="0" w:color="auto"/>
              <w:left w:val="single" w:sz="8" w:space="0" w:color="auto"/>
              <w:bottom w:val="single" w:sz="8" w:space="0" w:color="auto"/>
              <w:right w:val="single" w:sz="8" w:space="0" w:color="auto"/>
            </w:tcBorders>
            <w:shd w:val="clear" w:color="auto" w:fill="D0D8E8"/>
          </w:tcPr>
          <w:p w:rsidR="00656927" w:rsidRPr="00656927" w:rsidRDefault="00656927" w:rsidP="00656927"/>
          <w:p w:rsidR="00656927" w:rsidRPr="00656927" w:rsidRDefault="00656927" w:rsidP="00656927">
            <w:pPr>
              <w:numPr>
                <w:ilvl w:val="0"/>
                <w:numId w:val="4"/>
              </w:numPr>
            </w:pPr>
            <w:r w:rsidRPr="00656927">
              <w:t xml:space="preserve">Fluoxetin (wegen langer Halbwertszeit) </w:t>
            </w:r>
          </w:p>
          <w:p w:rsidR="00656927" w:rsidRPr="00656927" w:rsidRDefault="00656927" w:rsidP="00656927"/>
        </w:tc>
      </w:tr>
      <w:tr w:rsidR="00656927" w:rsidRPr="00656927" w:rsidTr="00656927">
        <w:tblPrEx>
          <w:tblCellMar>
            <w:top w:w="0" w:type="dxa"/>
            <w:bottom w:w="0" w:type="dxa"/>
          </w:tblCellMar>
        </w:tblPrEx>
        <w:trPr>
          <w:trHeight w:val="596"/>
        </w:trPr>
        <w:tc>
          <w:tcPr>
            <w:tcW w:w="4678" w:type="dxa"/>
            <w:tcBorders>
              <w:top w:val="single" w:sz="8" w:space="0" w:color="auto"/>
              <w:left w:val="single" w:sz="8" w:space="0" w:color="auto"/>
              <w:bottom w:val="single" w:sz="8" w:space="0" w:color="auto"/>
              <w:right w:val="single" w:sz="8" w:space="0" w:color="auto"/>
            </w:tcBorders>
            <w:shd w:val="clear" w:color="auto" w:fill="E9EDF4"/>
          </w:tcPr>
          <w:p w:rsidR="00656927" w:rsidRPr="00656927" w:rsidRDefault="00656927" w:rsidP="00656927">
            <w:r w:rsidRPr="00656927">
              <w:rPr>
                <w:b/>
                <w:bCs/>
              </w:rPr>
              <w:t xml:space="preserve">Nicht beschrieben </w:t>
            </w:r>
          </w:p>
          <w:p w:rsidR="00656927" w:rsidRPr="00656927" w:rsidRDefault="00656927" w:rsidP="00656927">
            <w:r w:rsidRPr="00656927">
              <w:rPr>
                <w:b/>
                <w:bCs/>
              </w:rPr>
              <w:t xml:space="preserve">(Angaben des Herstellers) </w:t>
            </w:r>
          </w:p>
        </w:tc>
        <w:tc>
          <w:tcPr>
            <w:tcW w:w="4678" w:type="dxa"/>
            <w:tcBorders>
              <w:top w:val="single" w:sz="8" w:space="0" w:color="auto"/>
              <w:left w:val="single" w:sz="8" w:space="0" w:color="auto"/>
              <w:bottom w:val="single" w:sz="8" w:space="0" w:color="auto"/>
              <w:right w:val="single" w:sz="8" w:space="0" w:color="auto"/>
            </w:tcBorders>
            <w:shd w:val="clear" w:color="auto" w:fill="E9EDF4"/>
          </w:tcPr>
          <w:p w:rsidR="00656927" w:rsidRPr="00656927" w:rsidRDefault="00656927" w:rsidP="00656927"/>
          <w:p w:rsidR="00656927" w:rsidRPr="00656927" w:rsidRDefault="00656927" w:rsidP="00656927">
            <w:pPr>
              <w:numPr>
                <w:ilvl w:val="0"/>
                <w:numId w:val="5"/>
              </w:numPr>
            </w:pPr>
            <w:proofErr w:type="spellStart"/>
            <w:r w:rsidRPr="00656927">
              <w:t>Moclobemid</w:t>
            </w:r>
            <w:proofErr w:type="spellEnd"/>
            <w:r w:rsidRPr="00656927">
              <w:t xml:space="preserve"> </w:t>
            </w:r>
          </w:p>
          <w:p w:rsidR="00656927" w:rsidRPr="00656927" w:rsidRDefault="00656927" w:rsidP="00656927">
            <w:pPr>
              <w:numPr>
                <w:ilvl w:val="0"/>
                <w:numId w:val="5"/>
              </w:numPr>
            </w:pPr>
            <w:proofErr w:type="spellStart"/>
            <w:r w:rsidRPr="00656927">
              <w:t>Reboxetin</w:t>
            </w:r>
            <w:proofErr w:type="spellEnd"/>
            <w:r w:rsidRPr="00656927">
              <w:t xml:space="preserve"> </w:t>
            </w:r>
          </w:p>
          <w:p w:rsidR="00656927" w:rsidRPr="00656927" w:rsidRDefault="00656927" w:rsidP="00656927">
            <w:pPr>
              <w:numPr>
                <w:ilvl w:val="0"/>
                <w:numId w:val="5"/>
              </w:numPr>
            </w:pPr>
            <w:proofErr w:type="spellStart"/>
            <w:r w:rsidRPr="00656927">
              <w:t>Bupropion</w:t>
            </w:r>
            <w:proofErr w:type="spellEnd"/>
            <w:r w:rsidRPr="00656927">
              <w:t xml:space="preserve"> </w:t>
            </w:r>
            <w:proofErr w:type="spellStart"/>
            <w:r w:rsidRPr="00656927">
              <w:t>retard</w:t>
            </w:r>
            <w:proofErr w:type="spellEnd"/>
            <w:r w:rsidRPr="00656927">
              <w:t xml:space="preserve"> </w:t>
            </w:r>
          </w:p>
          <w:p w:rsidR="00656927" w:rsidRPr="00656927" w:rsidRDefault="00656927" w:rsidP="00656927"/>
        </w:tc>
      </w:tr>
      <w:tr w:rsidR="00656927" w:rsidRPr="00656927" w:rsidTr="00656927">
        <w:tblPrEx>
          <w:tblCellMar>
            <w:top w:w="0" w:type="dxa"/>
            <w:bottom w:w="0" w:type="dxa"/>
          </w:tblCellMar>
        </w:tblPrEx>
        <w:trPr>
          <w:trHeight w:val="212"/>
        </w:trPr>
        <w:tc>
          <w:tcPr>
            <w:tcW w:w="4678" w:type="dxa"/>
            <w:tcBorders>
              <w:top w:val="single" w:sz="8" w:space="0" w:color="auto"/>
              <w:left w:val="single" w:sz="8" w:space="0" w:color="auto"/>
              <w:bottom w:val="single" w:sz="8" w:space="0" w:color="auto"/>
              <w:right w:val="single" w:sz="8" w:space="0" w:color="auto"/>
            </w:tcBorders>
            <w:shd w:val="clear" w:color="auto" w:fill="D0D8E8"/>
          </w:tcPr>
          <w:p w:rsidR="00656927" w:rsidRPr="00656927" w:rsidRDefault="00656927" w:rsidP="00656927">
            <w:r w:rsidRPr="00656927">
              <w:rPr>
                <w:b/>
                <w:bCs/>
              </w:rPr>
              <w:lastRenderedPageBreak/>
              <w:t xml:space="preserve">Keine Absetzphänomene </w:t>
            </w:r>
          </w:p>
        </w:tc>
        <w:tc>
          <w:tcPr>
            <w:tcW w:w="4678" w:type="dxa"/>
            <w:tcBorders>
              <w:top w:val="single" w:sz="8" w:space="0" w:color="auto"/>
              <w:left w:val="single" w:sz="8" w:space="0" w:color="auto"/>
              <w:bottom w:val="single" w:sz="8" w:space="0" w:color="auto"/>
              <w:right w:val="single" w:sz="8" w:space="0" w:color="auto"/>
            </w:tcBorders>
            <w:shd w:val="clear" w:color="auto" w:fill="D0D8E8"/>
          </w:tcPr>
          <w:p w:rsidR="00656927" w:rsidRPr="00656927" w:rsidRDefault="00656927" w:rsidP="00656927"/>
          <w:p w:rsidR="00656927" w:rsidRPr="00656927" w:rsidRDefault="00656927" w:rsidP="00656927">
            <w:pPr>
              <w:numPr>
                <w:ilvl w:val="0"/>
                <w:numId w:val="6"/>
              </w:numPr>
            </w:pPr>
            <w:proofErr w:type="spellStart"/>
            <w:r w:rsidRPr="00656927">
              <w:t>Agomelatin</w:t>
            </w:r>
            <w:proofErr w:type="spellEnd"/>
            <w:r w:rsidRPr="00656927">
              <w:t xml:space="preserve"> </w:t>
            </w:r>
          </w:p>
          <w:p w:rsidR="00656927" w:rsidRPr="00656927" w:rsidRDefault="00656927" w:rsidP="00656927"/>
        </w:tc>
      </w:tr>
    </w:tbl>
    <w:p w:rsidR="00656927" w:rsidRPr="00656927" w:rsidRDefault="00656927" w:rsidP="00656927">
      <w:r w:rsidRPr="00656927">
        <w:t xml:space="preserve">modifiziert nach </w:t>
      </w:r>
    </w:p>
    <w:p w:rsidR="00656927" w:rsidRPr="00656927" w:rsidRDefault="00656927" w:rsidP="00656927">
      <w:pPr>
        <w:numPr>
          <w:ilvl w:val="0"/>
          <w:numId w:val="7"/>
        </w:numPr>
      </w:pPr>
      <w:proofErr w:type="spellStart"/>
      <w:r w:rsidRPr="00656927">
        <w:t>Schmauß</w:t>
      </w:r>
      <w:proofErr w:type="spellEnd"/>
      <w:r w:rsidRPr="00656927">
        <w:t xml:space="preserve"> M., Messer Th., Therapietabellen Affektive Erkrankungen, Westermayer Verlag, 2010, 6. Auflage, Nr.44 </w:t>
      </w:r>
    </w:p>
    <w:p w:rsidR="00656927" w:rsidRPr="00656927" w:rsidRDefault="00656927" w:rsidP="00656927">
      <w:pPr>
        <w:numPr>
          <w:ilvl w:val="0"/>
          <w:numId w:val="7"/>
        </w:numPr>
      </w:pPr>
      <w:r w:rsidRPr="00656927">
        <w:t xml:space="preserve">Laux G., </w:t>
      </w:r>
      <w:proofErr w:type="spellStart"/>
      <w:r w:rsidRPr="00656927">
        <w:t>Dietmaier</w:t>
      </w:r>
      <w:proofErr w:type="spellEnd"/>
      <w:r w:rsidRPr="00656927">
        <w:t xml:space="preserve"> O., Urban &amp; Fischer, 2012, Auflage 6 </w:t>
      </w:r>
    </w:p>
    <w:p w:rsidR="00656927" w:rsidRDefault="00656927"/>
    <w:sectPr w:rsidR="00656927" w:rsidSect="00656927">
      <w:pgSz w:w="11906" w:h="16838"/>
      <w:pgMar w:top="56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A31F24B"/>
    <w:multiLevelType w:val="hybridMultilevel"/>
    <w:tmpl w:val="35A583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EB11A3"/>
    <w:multiLevelType w:val="hybridMultilevel"/>
    <w:tmpl w:val="A8A632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6271F7"/>
    <w:multiLevelType w:val="multilevel"/>
    <w:tmpl w:val="BB2A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77C69"/>
    <w:multiLevelType w:val="hybridMultilevel"/>
    <w:tmpl w:val="0EFDF6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17AD1B6"/>
    <w:multiLevelType w:val="hybridMultilevel"/>
    <w:tmpl w:val="F9D288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106EA7E"/>
    <w:multiLevelType w:val="hybridMultilevel"/>
    <w:tmpl w:val="44BA692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C1DFC26"/>
    <w:multiLevelType w:val="hybridMultilevel"/>
    <w:tmpl w:val="D8C918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6"/>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927"/>
    <w:rsid w:val="00656927"/>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C7FE"/>
  <w15:chartTrackingRefBased/>
  <w15:docId w15:val="{074AC00E-34D8-41AB-8C26-6DF7FA1F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010254">
      <w:bodyDiv w:val="1"/>
      <w:marLeft w:val="0"/>
      <w:marRight w:val="0"/>
      <w:marTop w:val="0"/>
      <w:marBottom w:val="0"/>
      <w:divBdr>
        <w:top w:val="none" w:sz="0" w:space="0" w:color="auto"/>
        <w:left w:val="none" w:sz="0" w:space="0" w:color="auto"/>
        <w:bottom w:val="none" w:sz="0" w:space="0" w:color="auto"/>
        <w:right w:val="none" w:sz="0" w:space="0" w:color="auto"/>
      </w:divBdr>
      <w:divsChild>
        <w:div w:id="331568314">
          <w:marLeft w:val="0"/>
          <w:marRight w:val="0"/>
          <w:marTop w:val="0"/>
          <w:marBottom w:val="0"/>
          <w:divBdr>
            <w:top w:val="none" w:sz="0" w:space="0" w:color="auto"/>
            <w:left w:val="none" w:sz="0" w:space="0" w:color="auto"/>
            <w:bottom w:val="none" w:sz="0" w:space="0" w:color="auto"/>
            <w:right w:val="none" w:sz="0" w:space="0" w:color="auto"/>
          </w:divBdr>
        </w:div>
        <w:div w:id="2055811571">
          <w:marLeft w:val="0"/>
          <w:marRight w:val="0"/>
          <w:marTop w:val="0"/>
          <w:marBottom w:val="0"/>
          <w:divBdr>
            <w:top w:val="none" w:sz="0" w:space="0" w:color="auto"/>
            <w:left w:val="none" w:sz="0" w:space="0" w:color="auto"/>
            <w:bottom w:val="none" w:sz="0" w:space="0" w:color="auto"/>
            <w:right w:val="none" w:sz="0" w:space="0" w:color="auto"/>
          </w:divBdr>
          <w:divsChild>
            <w:div w:id="321616781">
              <w:marLeft w:val="0"/>
              <w:marRight w:val="0"/>
              <w:marTop w:val="0"/>
              <w:marBottom w:val="0"/>
              <w:divBdr>
                <w:top w:val="none" w:sz="0" w:space="0" w:color="auto"/>
                <w:left w:val="none" w:sz="0" w:space="0" w:color="auto"/>
                <w:bottom w:val="none" w:sz="0" w:space="0" w:color="auto"/>
                <w:right w:val="none" w:sz="0" w:space="0" w:color="auto"/>
              </w:divBdr>
            </w:div>
          </w:divsChild>
        </w:div>
        <w:div w:id="1396971513">
          <w:marLeft w:val="0"/>
          <w:marRight w:val="0"/>
          <w:marTop w:val="0"/>
          <w:marBottom w:val="0"/>
          <w:divBdr>
            <w:top w:val="none" w:sz="0" w:space="0" w:color="auto"/>
            <w:left w:val="none" w:sz="0" w:space="0" w:color="auto"/>
            <w:bottom w:val="none" w:sz="0" w:space="0" w:color="auto"/>
            <w:right w:val="none" w:sz="0" w:space="0" w:color="auto"/>
          </w:divBdr>
        </w:div>
        <w:div w:id="790978877">
          <w:marLeft w:val="0"/>
          <w:marRight w:val="0"/>
          <w:marTop w:val="0"/>
          <w:marBottom w:val="0"/>
          <w:divBdr>
            <w:top w:val="none" w:sz="0" w:space="0" w:color="auto"/>
            <w:left w:val="none" w:sz="0" w:space="0" w:color="auto"/>
            <w:bottom w:val="none" w:sz="0" w:space="0" w:color="auto"/>
            <w:right w:val="none" w:sz="0" w:space="0" w:color="auto"/>
          </w:divBdr>
          <w:divsChild>
            <w:div w:id="890193185">
              <w:marLeft w:val="0"/>
              <w:marRight w:val="0"/>
              <w:marTop w:val="0"/>
              <w:marBottom w:val="0"/>
              <w:divBdr>
                <w:top w:val="none" w:sz="0" w:space="0" w:color="auto"/>
                <w:left w:val="none" w:sz="0" w:space="0" w:color="auto"/>
                <w:bottom w:val="none" w:sz="0" w:space="0" w:color="auto"/>
                <w:right w:val="none" w:sz="0" w:space="0" w:color="auto"/>
              </w:divBdr>
              <w:divsChild>
                <w:div w:id="9895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2522">
          <w:marLeft w:val="0"/>
          <w:marRight w:val="0"/>
          <w:marTop w:val="0"/>
          <w:marBottom w:val="0"/>
          <w:divBdr>
            <w:top w:val="none" w:sz="0" w:space="0" w:color="auto"/>
            <w:left w:val="none" w:sz="0" w:space="0" w:color="auto"/>
            <w:bottom w:val="none" w:sz="0" w:space="0" w:color="auto"/>
            <w:right w:val="none" w:sz="0" w:space="0" w:color="auto"/>
          </w:divBdr>
          <w:divsChild>
            <w:div w:id="2045982518">
              <w:marLeft w:val="0"/>
              <w:marRight w:val="0"/>
              <w:marTop w:val="0"/>
              <w:marBottom w:val="0"/>
              <w:divBdr>
                <w:top w:val="none" w:sz="0" w:space="0" w:color="auto"/>
                <w:left w:val="none" w:sz="0" w:space="0" w:color="auto"/>
                <w:bottom w:val="none" w:sz="0" w:space="0" w:color="auto"/>
                <w:right w:val="none" w:sz="0" w:space="0" w:color="auto"/>
              </w:divBdr>
            </w:div>
          </w:divsChild>
        </w:div>
        <w:div w:id="953707659">
          <w:marLeft w:val="0"/>
          <w:marRight w:val="0"/>
          <w:marTop w:val="0"/>
          <w:marBottom w:val="0"/>
          <w:divBdr>
            <w:top w:val="none" w:sz="0" w:space="0" w:color="auto"/>
            <w:left w:val="none" w:sz="0" w:space="0" w:color="auto"/>
            <w:bottom w:val="none" w:sz="0" w:space="0" w:color="auto"/>
            <w:right w:val="none" w:sz="0" w:space="0" w:color="auto"/>
          </w:divBdr>
          <w:divsChild>
            <w:div w:id="426463509">
              <w:marLeft w:val="0"/>
              <w:marRight w:val="0"/>
              <w:marTop w:val="0"/>
              <w:marBottom w:val="0"/>
              <w:divBdr>
                <w:top w:val="none" w:sz="0" w:space="0" w:color="auto"/>
                <w:left w:val="none" w:sz="0" w:space="0" w:color="auto"/>
                <w:bottom w:val="none" w:sz="0" w:space="0" w:color="auto"/>
                <w:right w:val="none" w:sz="0" w:space="0" w:color="auto"/>
              </w:divBdr>
            </w:div>
          </w:divsChild>
        </w:div>
        <w:div w:id="1053890267">
          <w:marLeft w:val="0"/>
          <w:marRight w:val="0"/>
          <w:marTop w:val="0"/>
          <w:marBottom w:val="0"/>
          <w:divBdr>
            <w:top w:val="none" w:sz="0" w:space="0" w:color="auto"/>
            <w:left w:val="none" w:sz="0" w:space="0" w:color="auto"/>
            <w:bottom w:val="none" w:sz="0" w:space="0" w:color="auto"/>
            <w:right w:val="none" w:sz="0" w:space="0" w:color="auto"/>
          </w:divBdr>
        </w:div>
        <w:div w:id="1884635949">
          <w:marLeft w:val="0"/>
          <w:marRight w:val="0"/>
          <w:marTop w:val="0"/>
          <w:marBottom w:val="0"/>
          <w:divBdr>
            <w:top w:val="none" w:sz="0" w:space="0" w:color="auto"/>
            <w:left w:val="none" w:sz="0" w:space="0" w:color="auto"/>
            <w:bottom w:val="none" w:sz="0" w:space="0" w:color="auto"/>
            <w:right w:val="none" w:sz="0" w:space="0" w:color="auto"/>
          </w:divBdr>
          <w:divsChild>
            <w:div w:id="1411468977">
              <w:marLeft w:val="0"/>
              <w:marRight w:val="0"/>
              <w:marTop w:val="0"/>
              <w:marBottom w:val="0"/>
              <w:divBdr>
                <w:top w:val="none" w:sz="0" w:space="0" w:color="auto"/>
                <w:left w:val="none" w:sz="0" w:space="0" w:color="auto"/>
                <w:bottom w:val="none" w:sz="0" w:space="0" w:color="auto"/>
                <w:right w:val="none" w:sz="0" w:space="0" w:color="auto"/>
              </w:divBdr>
            </w:div>
          </w:divsChild>
        </w:div>
        <w:div w:id="931623557">
          <w:marLeft w:val="0"/>
          <w:marRight w:val="0"/>
          <w:marTop w:val="0"/>
          <w:marBottom w:val="0"/>
          <w:divBdr>
            <w:top w:val="none" w:sz="0" w:space="0" w:color="auto"/>
            <w:left w:val="none" w:sz="0" w:space="0" w:color="auto"/>
            <w:bottom w:val="none" w:sz="0" w:space="0" w:color="auto"/>
            <w:right w:val="none" w:sz="0" w:space="0" w:color="auto"/>
          </w:divBdr>
        </w:div>
        <w:div w:id="869297242">
          <w:marLeft w:val="0"/>
          <w:marRight w:val="0"/>
          <w:marTop w:val="0"/>
          <w:marBottom w:val="0"/>
          <w:divBdr>
            <w:top w:val="none" w:sz="0" w:space="0" w:color="auto"/>
            <w:left w:val="none" w:sz="0" w:space="0" w:color="auto"/>
            <w:bottom w:val="none" w:sz="0" w:space="0" w:color="auto"/>
            <w:right w:val="none" w:sz="0" w:space="0" w:color="auto"/>
          </w:divBdr>
          <w:divsChild>
            <w:div w:id="1443063670">
              <w:marLeft w:val="0"/>
              <w:marRight w:val="0"/>
              <w:marTop w:val="0"/>
              <w:marBottom w:val="0"/>
              <w:divBdr>
                <w:top w:val="none" w:sz="0" w:space="0" w:color="auto"/>
                <w:left w:val="none" w:sz="0" w:space="0" w:color="auto"/>
                <w:bottom w:val="none" w:sz="0" w:space="0" w:color="auto"/>
                <w:right w:val="none" w:sz="0" w:space="0" w:color="auto"/>
              </w:divBdr>
            </w:div>
          </w:divsChild>
        </w:div>
        <w:div w:id="1444614389">
          <w:marLeft w:val="0"/>
          <w:marRight w:val="0"/>
          <w:marTop w:val="0"/>
          <w:marBottom w:val="0"/>
          <w:divBdr>
            <w:top w:val="none" w:sz="0" w:space="0" w:color="auto"/>
            <w:left w:val="none" w:sz="0" w:space="0" w:color="auto"/>
            <w:bottom w:val="none" w:sz="0" w:space="0" w:color="auto"/>
            <w:right w:val="none" w:sz="0" w:space="0" w:color="auto"/>
          </w:divBdr>
        </w:div>
        <w:div w:id="654452357">
          <w:marLeft w:val="0"/>
          <w:marRight w:val="0"/>
          <w:marTop w:val="0"/>
          <w:marBottom w:val="0"/>
          <w:divBdr>
            <w:top w:val="none" w:sz="0" w:space="0" w:color="auto"/>
            <w:left w:val="none" w:sz="0" w:space="0" w:color="auto"/>
            <w:bottom w:val="none" w:sz="0" w:space="0" w:color="auto"/>
            <w:right w:val="none" w:sz="0" w:space="0" w:color="auto"/>
          </w:divBdr>
          <w:divsChild>
            <w:div w:id="1921989377">
              <w:marLeft w:val="0"/>
              <w:marRight w:val="0"/>
              <w:marTop w:val="0"/>
              <w:marBottom w:val="0"/>
              <w:divBdr>
                <w:top w:val="none" w:sz="0" w:space="0" w:color="auto"/>
                <w:left w:val="none" w:sz="0" w:space="0" w:color="auto"/>
                <w:bottom w:val="none" w:sz="0" w:space="0" w:color="auto"/>
                <w:right w:val="none" w:sz="0" w:space="0" w:color="auto"/>
              </w:divBdr>
              <w:divsChild>
                <w:div w:id="1634601511">
                  <w:marLeft w:val="0"/>
                  <w:marRight w:val="0"/>
                  <w:marTop w:val="0"/>
                  <w:marBottom w:val="0"/>
                  <w:divBdr>
                    <w:top w:val="none" w:sz="0" w:space="0" w:color="auto"/>
                    <w:left w:val="none" w:sz="0" w:space="0" w:color="auto"/>
                    <w:bottom w:val="none" w:sz="0" w:space="0" w:color="auto"/>
                    <w:right w:val="none" w:sz="0" w:space="0" w:color="auto"/>
                  </w:divBdr>
                  <w:divsChild>
                    <w:div w:id="90854385">
                      <w:marLeft w:val="0"/>
                      <w:marRight w:val="0"/>
                      <w:marTop w:val="0"/>
                      <w:marBottom w:val="0"/>
                      <w:divBdr>
                        <w:top w:val="none" w:sz="0" w:space="0" w:color="auto"/>
                        <w:left w:val="none" w:sz="0" w:space="0" w:color="auto"/>
                        <w:bottom w:val="none" w:sz="0" w:space="0" w:color="auto"/>
                        <w:right w:val="none" w:sz="0" w:space="0" w:color="auto"/>
                      </w:divBdr>
                    </w:div>
                    <w:div w:id="1879469013">
                      <w:marLeft w:val="0"/>
                      <w:marRight w:val="0"/>
                      <w:marTop w:val="0"/>
                      <w:marBottom w:val="0"/>
                      <w:divBdr>
                        <w:top w:val="none" w:sz="0" w:space="0" w:color="auto"/>
                        <w:left w:val="none" w:sz="0" w:space="0" w:color="auto"/>
                        <w:bottom w:val="none" w:sz="0" w:space="0" w:color="auto"/>
                        <w:right w:val="none" w:sz="0" w:space="0" w:color="auto"/>
                      </w:divBdr>
                      <w:divsChild>
                        <w:div w:id="15996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coliquio.de/images/infocenter/upload/valdoxan/Slides%20zu%20Impuls%2065_Absetzph%C3%A4nomen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2018-02-23T12:48:00Z</dcterms:created>
  <dcterms:modified xsi:type="dcterms:W3CDTF">2018-02-23T12:57:00Z</dcterms:modified>
</cp:coreProperties>
</file>